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3F" w:rsidRDefault="004B023F" w:rsidP="004B023F">
      <w:pPr>
        <w:jc w:val="both"/>
        <w:rPr>
          <w:color w:val="000000"/>
        </w:rPr>
      </w:pP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 w:rsidRPr="004B023F"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</w:p>
    <w:p w:rsidR="004B023F" w:rsidRP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bookmarkStart w:id="0" w:name="_GoBack"/>
      <w:bookmarkEnd w:id="0"/>
    </w:p>
    <w:p w:rsidR="004B023F" w:rsidRDefault="004B023F" w:rsidP="004B023F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180" w:firstLine="0"/>
        <w:jc w:val="both"/>
      </w:pPr>
      <w:r>
        <w:rPr>
          <w:color w:val="000000"/>
        </w:rPr>
        <w:t>образования, и распределение информационных потоков в соответствии с полномочиями организаторов.</w:t>
      </w:r>
    </w:p>
    <w:p w:rsidR="004B023F" w:rsidRDefault="004B023F" w:rsidP="004B023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 Показатели и индикаторы качества результатов образовательной деятельности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  <w:rPr>
          <w:color w:val="000000"/>
        </w:rPr>
      </w:pPr>
      <w:r>
        <w:rPr>
          <w:color w:val="000000"/>
        </w:rPr>
        <w:t>6.1.Комплекс показателей и индикаторов качества результатов образовательной деятельности включает:</w:t>
      </w:r>
    </w:p>
    <w:p w:rsidR="004B023F" w:rsidRDefault="004B023F" w:rsidP="004B023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уровень и качество </w:t>
      </w:r>
      <w:proofErr w:type="gramStart"/>
      <w:r>
        <w:rPr>
          <w:color w:val="000000"/>
        </w:rPr>
        <w:t>учебных достижений</w:t>
      </w:r>
      <w:proofErr w:type="gramEnd"/>
      <w:r>
        <w:rPr>
          <w:color w:val="000000"/>
        </w:rPr>
        <w:t xml:space="preserve"> обучающихся;</w:t>
      </w:r>
    </w:p>
    <w:p w:rsidR="004B023F" w:rsidRDefault="004B023F" w:rsidP="004B023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уровень социализации обучающихся: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компетенций, социального опыта, позволяющих адаптироваться в социуме; личностные </w:t>
      </w:r>
      <w:proofErr w:type="gramStart"/>
      <w:r>
        <w:rPr>
          <w:color w:val="000000"/>
        </w:rPr>
        <w:t>достижения;·</w:t>
      </w:r>
      <w:proofErr w:type="gramEnd"/>
    </w:p>
    <w:p w:rsidR="004B023F" w:rsidRDefault="004B023F" w:rsidP="004B023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6.2.Комплекс показателей и индикаторов ресурсного обеспечения и условий образовательного процесса </w:t>
      </w:r>
      <w:proofErr w:type="gramStart"/>
      <w:r>
        <w:rPr>
          <w:color w:val="000000"/>
        </w:rPr>
        <w:t>включает:·</w:t>
      </w:r>
      <w:proofErr w:type="gramEnd"/>
    </w:p>
    <w:p w:rsidR="004B023F" w:rsidRDefault="004B023F" w:rsidP="004B02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уровень развития материально-технической </w:t>
      </w:r>
      <w:proofErr w:type="gramStart"/>
      <w:r>
        <w:rPr>
          <w:color w:val="000000"/>
        </w:rPr>
        <w:t>базы;·</w:t>
      </w:r>
      <w:proofErr w:type="gramEnd"/>
    </w:p>
    <w:p w:rsidR="004B023F" w:rsidRDefault="004B023F" w:rsidP="004B02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обеспеченность участников образовательного процесса учебно-методическими материалами, справочной литературой, современными источниками </w:t>
      </w:r>
      <w:proofErr w:type="gramStart"/>
      <w:r>
        <w:rPr>
          <w:color w:val="000000"/>
        </w:rPr>
        <w:t>информации;·</w:t>
      </w:r>
      <w:proofErr w:type="gramEnd"/>
    </w:p>
    <w:p w:rsidR="004B023F" w:rsidRDefault="004B023F" w:rsidP="004B023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кадровое обеспечение образовательного процесса</w:t>
      </w:r>
    </w:p>
    <w:p w:rsidR="004B023F" w:rsidRDefault="004B023F" w:rsidP="004B02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Источники сбора данных и инструментарий для расчёта показателей и индикаторов мониторинга качества образования.</w:t>
      </w:r>
    </w:p>
    <w:p w:rsidR="004B023F" w:rsidRDefault="004B023F" w:rsidP="004B0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>Показатели и индикаторы мониторинга предоставляет существующая система ВШК школы.</w:t>
      </w:r>
    </w:p>
    <w:p w:rsidR="004B023F" w:rsidRDefault="004B023F" w:rsidP="004B02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Источниками и инструментарием сбора данных для расчета показателей и индикаторов мониторинга качества образования являются: данные государственной статистической </w:t>
      </w:r>
      <w:proofErr w:type="gramStart"/>
      <w:r>
        <w:rPr>
          <w:color w:val="000000"/>
        </w:rPr>
        <w:t>отчётности;·</w:t>
      </w:r>
      <w:proofErr w:type="gramEnd"/>
      <w:r>
        <w:rPr>
          <w:color w:val="000000"/>
        </w:rPr>
        <w:t>государственной (итоговой) аттестации выпускников школе; результаты тестирования;·анкетирования, опросов, интервьюирования;·дополнительные данные, собираемые в рамках мониторинговых исследований, а также</w:t>
      </w:r>
      <w:r>
        <w:t xml:space="preserve"> классные журналы, диагностические карты, табели уровня </w:t>
      </w:r>
      <w:proofErr w:type="spellStart"/>
      <w:r>
        <w:t>обученности</w:t>
      </w:r>
      <w:proofErr w:type="spellEnd"/>
      <w:r>
        <w:t>, аналитические справки зам. директора.</w:t>
      </w:r>
    </w:p>
    <w:p w:rsidR="004B023F" w:rsidRDefault="004B023F" w:rsidP="004B0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>Инструментарием экспертизы являются традиционные технологии анализа успеваемости и качества знаний, а также медицинские и психологические данные.</w:t>
      </w:r>
    </w:p>
    <w:p w:rsidR="004B023F" w:rsidRDefault="004B023F" w:rsidP="004B023F">
      <w:pPr>
        <w:jc w:val="both"/>
      </w:pPr>
      <w:r>
        <w:rPr>
          <w:b/>
        </w:rPr>
        <w:t>8. Объекты мониторингового исследования:</w:t>
      </w:r>
    </w:p>
    <w:p w:rsidR="004B023F" w:rsidRDefault="004B023F" w:rsidP="004B023F">
      <w:pPr>
        <w:ind w:firstLine="708"/>
        <w:jc w:val="both"/>
      </w:pPr>
      <w:r>
        <w:t>Объектом мониторинга является система организации учебно-воспитательного процесса в школе:</w:t>
      </w:r>
    </w:p>
    <w:p w:rsidR="004B023F" w:rsidRDefault="004B023F" w:rsidP="004B023F">
      <w:pPr>
        <w:numPr>
          <w:ilvl w:val="0"/>
          <w:numId w:val="4"/>
        </w:numPr>
        <w:tabs>
          <w:tab w:val="num" w:pos="720"/>
        </w:tabs>
        <w:ind w:left="180" w:firstLine="0"/>
        <w:jc w:val="both"/>
      </w:pPr>
      <w:r>
        <w:t>начальное общее образование;</w:t>
      </w:r>
    </w:p>
    <w:p w:rsidR="004B023F" w:rsidRDefault="004B023F" w:rsidP="004B023F">
      <w:pPr>
        <w:numPr>
          <w:ilvl w:val="0"/>
          <w:numId w:val="4"/>
        </w:numPr>
        <w:tabs>
          <w:tab w:val="num" w:pos="720"/>
        </w:tabs>
        <w:ind w:left="180" w:firstLine="0"/>
        <w:jc w:val="both"/>
      </w:pPr>
      <w:r>
        <w:t xml:space="preserve">основное общее образование; </w:t>
      </w:r>
    </w:p>
    <w:p w:rsidR="004B023F" w:rsidRDefault="004B023F" w:rsidP="004B023F">
      <w:pPr>
        <w:numPr>
          <w:ilvl w:val="0"/>
          <w:numId w:val="4"/>
        </w:numPr>
        <w:tabs>
          <w:tab w:val="num" w:pos="720"/>
        </w:tabs>
        <w:ind w:left="180" w:firstLine="0"/>
        <w:jc w:val="both"/>
      </w:pPr>
      <w:r>
        <w:t xml:space="preserve">дополнительное образование; </w:t>
      </w:r>
    </w:p>
    <w:p w:rsidR="004B023F" w:rsidRDefault="004B023F" w:rsidP="004B023F">
      <w:pPr>
        <w:numPr>
          <w:ilvl w:val="0"/>
          <w:numId w:val="4"/>
        </w:numPr>
        <w:tabs>
          <w:tab w:val="num" w:pos="720"/>
        </w:tabs>
        <w:ind w:left="180" w:firstLine="0"/>
        <w:jc w:val="both"/>
      </w:pPr>
      <w:r>
        <w:t>повышение квалификации;</w:t>
      </w:r>
    </w:p>
    <w:p w:rsidR="004B023F" w:rsidRDefault="004B023F" w:rsidP="004B023F">
      <w:pPr>
        <w:numPr>
          <w:ilvl w:val="0"/>
          <w:numId w:val="4"/>
        </w:numPr>
        <w:tabs>
          <w:tab w:val="num" w:pos="720"/>
        </w:tabs>
        <w:ind w:left="180" w:firstLine="0"/>
        <w:jc w:val="both"/>
      </w:pPr>
      <w:r>
        <w:t>деятельность органов самоуправления.</w:t>
      </w:r>
      <w:r>
        <w:rPr>
          <w:color w:val="616161"/>
        </w:rPr>
        <w:t xml:space="preserve"> 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rPr>
          <w:b/>
        </w:rPr>
        <w:t>9. Виды мониторинга</w:t>
      </w:r>
      <w:r>
        <w:t xml:space="preserve"> 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>9.1. Мониторинг эффективности образовательного процесса на этапе достижения стандартов ЗУН.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 xml:space="preserve"> 9.2. Мониторинг результативности учебного процесса по образовательным областям, включенным в БУП. 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>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4B023F" w:rsidRDefault="004B023F" w:rsidP="004B023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достигается ли цель образовательного процесса;</w:t>
      </w:r>
    </w:p>
    <w:p w:rsidR="004B023F" w:rsidRDefault="004B023F" w:rsidP="004B023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существует ли положительная динамика по сравнению с результатами предыдущих диагностических исследований;</w:t>
      </w:r>
    </w:p>
    <w:p w:rsidR="004B023F" w:rsidRDefault="004B023F" w:rsidP="004B023F">
      <w:pPr>
        <w:pStyle w:val="a3"/>
        <w:numPr>
          <w:ilvl w:val="0"/>
          <w:numId w:val="5"/>
        </w:numPr>
        <w:tabs>
          <w:tab w:val="num" w:pos="180"/>
        </w:tabs>
        <w:spacing w:before="0" w:beforeAutospacing="0" w:after="0" w:afterAutospacing="0"/>
        <w:ind w:left="180" w:firstLine="0"/>
        <w:rPr>
          <w:b/>
        </w:rPr>
      </w:pPr>
      <w:r>
        <w:lastRenderedPageBreak/>
        <w:t>существуют ли предпосылки для совершенствования работы преподавателя.</w:t>
      </w:r>
      <w:r>
        <w:br/>
        <w:t xml:space="preserve">9.3.Отслеживание состояния учебного процесса решается путем проведения диагностических контрольных работ дважды в год: в декабре – по итогам первого полугодия и в </w:t>
      </w:r>
      <w:proofErr w:type="gramStart"/>
      <w:r>
        <w:t>апреле  по</w:t>
      </w:r>
      <w:proofErr w:type="gramEnd"/>
      <w:r>
        <w:t xml:space="preserve"> итогам второго полугодия.</w:t>
      </w:r>
      <w:r>
        <w:br/>
        <w:t>Цели проведения контроля:</w:t>
      </w:r>
      <w:r>
        <w:br/>
        <w:t>- оценка успешности продвижения учащихся в предметной области;</w:t>
      </w:r>
      <w:r>
        <w:br/>
        <w:t>- подведение промежуточных итогов обучения.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rPr>
          <w:b/>
        </w:rPr>
      </w:pPr>
      <w:r>
        <w:t xml:space="preserve">Кроме того, отслеживаются результаты обучения по всем предметам по итогам четвертей и полугодий (качественная успеваемость, степень </w:t>
      </w:r>
      <w:proofErr w:type="spellStart"/>
      <w:r>
        <w:t>обученности</w:t>
      </w:r>
      <w:proofErr w:type="spellEnd"/>
      <w:r>
        <w:t xml:space="preserve"> учащихся, средний балл).</w:t>
      </w:r>
      <w:r>
        <w:br/>
      </w:r>
      <w:r>
        <w:rPr>
          <w:b/>
        </w:rPr>
        <w:t>10. Ожидаемые результаты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>Результаты мониторинговых исследований предполагают:</w:t>
      </w:r>
    </w:p>
    <w:p w:rsidR="004B023F" w:rsidRDefault="004B023F" w:rsidP="004B023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Получение независимой экспертизы состояния образовательного процесса.</w:t>
      </w:r>
    </w:p>
    <w:p w:rsidR="004B023F" w:rsidRDefault="004B023F" w:rsidP="004B023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Улучшение функций управления образовательным процессом, обеспечивающих получение обратной связи.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>Систематическое накопление банка данных для принятия управленческих и тактических решений.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  <w:outlineLvl w:val="0"/>
        <w:rPr>
          <w:b/>
        </w:rPr>
      </w:pPr>
      <w:r>
        <w:rPr>
          <w:b/>
        </w:rPr>
        <w:t>11.Анализ результатов</w:t>
      </w:r>
    </w:p>
    <w:p w:rsidR="004B023F" w:rsidRDefault="004B023F" w:rsidP="004B023F">
      <w:pPr>
        <w:pStyle w:val="a3"/>
        <w:spacing w:before="0" w:beforeAutospacing="0" w:after="0" w:afterAutospacing="0"/>
        <w:ind w:left="180" w:firstLine="528"/>
        <w:jc w:val="both"/>
      </w:pPr>
      <w:r>
        <w:t xml:space="preserve">Анализ результатов диагностических исследований осуществляется по традиционной схеме: обработка информации, оформление </w:t>
      </w:r>
      <w:proofErr w:type="gramStart"/>
      <w:r>
        <w:t>аналитической  справки</w:t>
      </w:r>
      <w:proofErr w:type="gramEnd"/>
      <w:r>
        <w:t xml:space="preserve">, обсуждение результатов на педагогическом совете, совещаниях, методических объединениях, оформление таблиц, диаграмм, пополнение банка имеющихся данных.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 </w:t>
      </w:r>
    </w:p>
    <w:p w:rsidR="004B023F" w:rsidRDefault="004B023F" w:rsidP="004B023F">
      <w:pPr>
        <w:pStyle w:val="a3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12.Исполнители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 xml:space="preserve">1. Учителя – предметники 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 xml:space="preserve">2. Руководители ШМО 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 xml:space="preserve">3. Классные руководители </w:t>
      </w:r>
    </w:p>
    <w:p w:rsidR="004B023F" w:rsidRDefault="004B023F" w:rsidP="004B023F">
      <w:pPr>
        <w:pStyle w:val="a3"/>
        <w:spacing w:before="0" w:beforeAutospacing="0" w:after="0" w:afterAutospacing="0"/>
        <w:ind w:left="180"/>
        <w:jc w:val="both"/>
      </w:pPr>
      <w:r>
        <w:t xml:space="preserve">4. Заместители директора. </w:t>
      </w:r>
    </w:p>
    <w:p w:rsidR="004B023F" w:rsidRDefault="004B023F" w:rsidP="004B023F"/>
    <w:p w:rsidR="004B023F" w:rsidRDefault="004B023F" w:rsidP="004B023F">
      <w:pPr>
        <w:jc w:val="center"/>
      </w:pPr>
    </w:p>
    <w:p w:rsidR="004B023F" w:rsidRDefault="004B023F" w:rsidP="004B023F">
      <w:pPr>
        <w:jc w:val="center"/>
      </w:pPr>
    </w:p>
    <w:p w:rsidR="004B023F" w:rsidRDefault="004B023F" w:rsidP="004B023F">
      <w:pPr>
        <w:jc w:val="center"/>
      </w:pPr>
    </w:p>
    <w:p w:rsidR="004B023F" w:rsidRDefault="004B023F" w:rsidP="004B023F">
      <w:pPr>
        <w:jc w:val="center"/>
      </w:pPr>
    </w:p>
    <w:p w:rsidR="004B023F" w:rsidRDefault="004B023F" w:rsidP="004B023F">
      <w:pPr>
        <w:jc w:val="center"/>
      </w:pPr>
    </w:p>
    <w:p w:rsidR="004B023F" w:rsidRDefault="004B023F" w:rsidP="004B023F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23F" w:rsidRDefault="004B023F" w:rsidP="004B023F">
      <w:pPr>
        <w:tabs>
          <w:tab w:val="left" w:pos="360"/>
        </w:tabs>
        <w:jc w:val="center"/>
      </w:pPr>
    </w:p>
    <w:p w:rsidR="004B023F" w:rsidRDefault="004B023F" w:rsidP="004B023F">
      <w:pPr>
        <w:jc w:val="center"/>
      </w:pPr>
    </w:p>
    <w:p w:rsidR="00CA67D8" w:rsidRDefault="00CA67D8"/>
    <w:sectPr w:rsidR="00CA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DE0"/>
    <w:multiLevelType w:val="hybridMultilevel"/>
    <w:tmpl w:val="9B3E35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1EB722C"/>
    <w:multiLevelType w:val="hybridMultilevel"/>
    <w:tmpl w:val="DC5C4A0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C1D7F12"/>
    <w:multiLevelType w:val="hybridMultilevel"/>
    <w:tmpl w:val="90909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987888"/>
    <w:multiLevelType w:val="hybridMultilevel"/>
    <w:tmpl w:val="87E6FF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4535CB5"/>
    <w:multiLevelType w:val="hybridMultilevel"/>
    <w:tmpl w:val="B7DAA6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8483CF3"/>
    <w:multiLevelType w:val="hybridMultilevel"/>
    <w:tmpl w:val="9B5CB1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AE"/>
    <w:rsid w:val="004B023F"/>
    <w:rsid w:val="00A643AE"/>
    <w:rsid w:val="00C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AFC6-ACE3-4FC3-A238-D092212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0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3</cp:revision>
  <dcterms:created xsi:type="dcterms:W3CDTF">2020-03-13T13:11:00Z</dcterms:created>
  <dcterms:modified xsi:type="dcterms:W3CDTF">2020-03-13T13:12:00Z</dcterms:modified>
</cp:coreProperties>
</file>